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10" w:rsidRPr="00997780" w:rsidRDefault="00EC5710" w:rsidP="00EC5710">
      <w:pPr>
        <w:spacing w:before="100" w:beforeAutospacing="1"/>
        <w:jc w:val="right"/>
      </w:pPr>
      <w:r w:rsidRPr="00997780">
        <w:t xml:space="preserve">                                                                                                                                                              Приложение</w:t>
      </w:r>
    </w:p>
    <w:p w:rsidR="00EC5710" w:rsidRPr="00997780" w:rsidRDefault="00EC5710" w:rsidP="00EC5710">
      <w:pPr>
        <w:ind w:left="9360"/>
        <w:jc w:val="right"/>
      </w:pPr>
      <w:r w:rsidRPr="00997780">
        <w:t xml:space="preserve">к приказу МОУ «Пановская  НШДС» </w:t>
      </w:r>
    </w:p>
    <w:p w:rsidR="00EC5710" w:rsidRPr="00997780" w:rsidRDefault="00EC5710" w:rsidP="00EC5710">
      <w:pPr>
        <w:ind w:left="9360"/>
        <w:jc w:val="right"/>
        <w:rPr>
          <w:u w:val="single"/>
        </w:rPr>
      </w:pPr>
      <w:r w:rsidRPr="00997780">
        <w:rPr>
          <w:u w:val="single"/>
        </w:rPr>
        <w:t>от 20.11.2018 №74</w:t>
      </w:r>
    </w:p>
    <w:p w:rsidR="00EC5710" w:rsidRPr="00997780" w:rsidRDefault="00EC5710" w:rsidP="00EC5710">
      <w:pPr>
        <w:spacing w:before="100" w:beforeAutospacing="1"/>
        <w:jc w:val="right"/>
      </w:pPr>
      <w:r w:rsidRPr="00997780">
        <w:t> </w:t>
      </w:r>
    </w:p>
    <w:p w:rsidR="00EC5710" w:rsidRPr="00997780" w:rsidRDefault="00EC5710" w:rsidP="00EC5710">
      <w:pPr>
        <w:spacing w:before="100" w:beforeAutospacing="1"/>
        <w:jc w:val="center"/>
      </w:pPr>
      <w:r w:rsidRPr="00997780">
        <w:rPr>
          <w:b/>
          <w:bCs/>
        </w:rPr>
        <w:t>План</w:t>
      </w:r>
    </w:p>
    <w:p w:rsidR="00EC5710" w:rsidRPr="00997780" w:rsidRDefault="00EC5710" w:rsidP="00EC5710">
      <w:pPr>
        <w:spacing w:before="100" w:beforeAutospacing="1"/>
        <w:jc w:val="center"/>
      </w:pPr>
      <w:r w:rsidRPr="00997780">
        <w:rPr>
          <w:b/>
          <w:bCs/>
        </w:rPr>
        <w:t>мероприятий по противодействию коррупции в МОУ «Пановская  НШДС» на 2018-2020годы</w:t>
      </w:r>
    </w:p>
    <w:tbl>
      <w:tblPr>
        <w:tblW w:w="15585" w:type="dxa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0194"/>
        <w:gridCol w:w="2340"/>
        <w:gridCol w:w="2340"/>
      </w:tblGrid>
      <w:tr w:rsidR="00EC5710" w:rsidRPr="00997780" w:rsidTr="008B2E75"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rPr>
                <w:b/>
                <w:bCs/>
              </w:rPr>
              <w:t>№ п/п</w:t>
            </w:r>
          </w:p>
        </w:tc>
        <w:tc>
          <w:tcPr>
            <w:tcW w:w="10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rPr>
                <w:b/>
                <w:bCs/>
              </w:rPr>
              <w:t>Мероприятие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rPr>
                <w:b/>
                <w:bCs/>
              </w:rPr>
              <w:t>Исполнитель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rPr>
                <w:b/>
                <w:bCs/>
              </w:rPr>
              <w:t>Срок выполнения</w:t>
            </w:r>
          </w:p>
        </w:tc>
      </w:tr>
      <w:tr w:rsidR="00EC5710" w:rsidRPr="00997780" w:rsidTr="008B2E75">
        <w:tc>
          <w:tcPr>
            <w:tcW w:w="155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  <w:rPr>
                <w:b/>
                <w:bCs/>
              </w:rPr>
            </w:pPr>
            <w:r w:rsidRPr="00997780">
              <w:rPr>
                <w:b/>
                <w:bCs/>
              </w:rPr>
              <w:t>1. Меры, направленные на улучшение муниципального управления в социально-экономической сфер</w:t>
            </w:r>
          </w:p>
          <w:p w:rsidR="00EC5710" w:rsidRPr="00997780" w:rsidRDefault="00EC5710" w:rsidP="008B2E75">
            <w:pPr>
              <w:spacing w:before="100" w:beforeAutospacing="1"/>
              <w:jc w:val="both"/>
              <w:rPr>
                <w:b/>
                <w:bCs/>
              </w:rPr>
            </w:pP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r w:rsidRPr="00997780">
              <w:t> 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r w:rsidRPr="00997780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r w:rsidRPr="00997780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r w:rsidRPr="00997780">
              <w:t> 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1.1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Внедрение и обеспечение действующего функционирования единой системы документооборота, позволяющей осуществлять ведение учета и контроля исполнения документов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1.2 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Обеспечение эффективности, результативности осуществления закупок товаров, работ, услуг,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1.3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Закрепление в нормативных правовых актах Шатковского муниципального района принципа коллегиального рассмотрения вопросов при реализации муниципальных функций и оказанию муниципальных услуг, исполнение которых в наибольшей степени подвержено риску коррупционных проявлений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Гудкова Е.И.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При принятии соответствующих нормативных правовых актов 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rPr>
                <w:color w:val="000000"/>
              </w:rPr>
              <w:t>1.4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rPr>
                <w:color w:val="000000"/>
              </w:rPr>
              <w:t xml:space="preserve">Осуществление внутреннего финансового контроля и внутреннего финансового аудита учреждения, осуществляющего образовательную деятельность, проверка использования субсидий, субвенций и иных межбюджетных трансфертов из областного бюджета.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rPr>
                <w:color w:val="000000"/>
              </w:rPr>
              <w:t>постоянно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1.5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Осуществление контроля по социально-значимым вопросам, где возможно проявление коррупционных признаков и действий, включение вопросов организации работы с обращениями граждан в план работы.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c>
          <w:tcPr>
            <w:tcW w:w="155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ind w:left="360"/>
              <w:jc w:val="both"/>
            </w:pPr>
            <w:r w:rsidRPr="00997780">
              <w:t> </w:t>
            </w:r>
          </w:p>
          <w:p w:rsidR="00EC5710" w:rsidRPr="00997780" w:rsidRDefault="00EC5710" w:rsidP="008B2E75">
            <w:pPr>
              <w:ind w:left="360"/>
              <w:jc w:val="both"/>
            </w:pPr>
            <w:r w:rsidRPr="00997780">
              <w:rPr>
                <w:b/>
                <w:bCs/>
              </w:rPr>
              <w:t>2. Меры, направленные на совершенствование функционирования образовательной организации</w:t>
            </w:r>
          </w:p>
          <w:p w:rsidR="00EC5710" w:rsidRPr="00997780" w:rsidRDefault="00EC5710" w:rsidP="008B2E75">
            <w:pPr>
              <w:ind w:left="360"/>
              <w:jc w:val="both"/>
            </w:pPr>
            <w:r w:rsidRPr="00997780">
              <w:t> 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2.1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Обеспечение деятельности коллектива по соблюдению требований к служебному поведению и </w:t>
            </w:r>
            <w:r w:rsidRPr="00997780">
              <w:lastRenderedPageBreak/>
              <w:t>урегулированию конфликта интересов. Принятие мер по предотвращению и урегулированию конфликта интересов, придание гласности каждого случая конфликта интересов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lastRenderedPageBreak/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lastRenderedPageBreak/>
              <w:t>Порунова Т.В.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lastRenderedPageBreak/>
              <w:t>постоянно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lastRenderedPageBreak/>
              <w:t>2.2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Разъяснение и оказание консультативной помощи по вопросам применения педагогическими работниками положений Кодекса служебной этики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rPr>
          <w:trHeight w:val="281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2.3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Обеспечение соблюдения Кодекса служебной этики педагогическими работниками организации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2.4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Проведение анализа перечня муниципальных услуг с повышенным коррупционным риском, связанных с: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- с распределением значительных финансовых средств, 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- с высокой степенью свободы действий, вызванных спецификой работы,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- с высокой интенсивностью контактов с гражданами и организациями;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- осуществлением постоянно, временно или в соответствии со специальными полномочиями   организационно-распорядительных или административно-хозяйственных функций;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- предоставлением муниципальных услуг гражданам и организациям;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- осуществлением контрольных мероприятий;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-подготовкой и принятием решений о расходовании бюджетных ассигнований, субсидий, межбюджетных трансфертов,   хранением и распределением материально-технических ресурсов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В случае появления новых муниципальных услуг или их перераспределения, но не реже 1 раза в год</w:t>
            </w:r>
          </w:p>
        </w:tc>
      </w:tr>
      <w:tr w:rsidR="00EC5710" w:rsidRPr="00997780" w:rsidTr="008B2E75">
        <w:trPr>
          <w:trHeight w:val="821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2.5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Контроль за адекватностью материальных стимулов в зависимости от объема и результатов работы педагогических работников, вспомогательного и обслуживающего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2.6 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Оптимизация и конкретизация функций образовательной организации, обеспечение общедоступности данных функций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постоянно 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2.7 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Реализация системы взаимодействия институтов гражданского общества и средств массовой информации с образовательной организацией, исключающей возможность неправомерного вмешательства в деятельность педагогического состава и обслуживающего персонала и обеспечение функционирования системы информирования населения по вопросам противодействия коррупции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2.8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Формирование инфраструктуры, обеспечивающей межведомственное электронное </w:t>
            </w:r>
            <w:r w:rsidRPr="00997780">
              <w:lastRenderedPageBreak/>
              <w:t xml:space="preserve">взаимодействие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lastRenderedPageBreak/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lastRenderedPageBreak/>
              <w:t>2.9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Включение в план работы образовательной организации вопроса работы с обращениями граждан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rPr>
          <w:trHeight w:val="110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2.10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Включение в план работы ОО вопроса о наличии на информационных стендах, в родительских уголках, на сайте в сети Интернет информации о телефоне доверия министерства образования Нижегородской области, отдела образования для приема сообщений о фактах коррупционных проявлений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rPr>
          <w:trHeight w:val="113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2.11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Обеспечение доступа населения района к информации о деятельности образовательной организации 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rPr>
          <w:trHeight w:val="531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2.12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Проверка на знание нормативно-правовой базы по противодействию коррупции и антикоррупционному поведению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c>
          <w:tcPr>
            <w:tcW w:w="155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ind w:left="360"/>
              <w:jc w:val="both"/>
            </w:pPr>
            <w:r w:rsidRPr="00997780">
              <w:t> </w:t>
            </w:r>
          </w:p>
          <w:p w:rsidR="00EC5710" w:rsidRPr="00997780" w:rsidRDefault="00EC5710" w:rsidP="008B2E75">
            <w:pPr>
              <w:ind w:left="360"/>
              <w:jc w:val="both"/>
            </w:pPr>
            <w:r w:rsidRPr="00997780">
              <w:rPr>
                <w:b/>
                <w:bCs/>
              </w:rPr>
              <w:t>3. Меры, направленные на повышение профессионального уровня кадров и правовое просвещение</w:t>
            </w:r>
          </w:p>
          <w:p w:rsidR="00EC5710" w:rsidRPr="00997780" w:rsidRDefault="00EC5710" w:rsidP="008B2E75">
            <w:pPr>
              <w:ind w:left="360"/>
              <w:jc w:val="both"/>
            </w:pPr>
            <w:r w:rsidRPr="00997780">
              <w:t> </w:t>
            </w:r>
          </w:p>
        </w:tc>
      </w:tr>
      <w:tr w:rsidR="00EC5710" w:rsidRPr="00997780" w:rsidTr="008B2E75">
        <w:trPr>
          <w:trHeight w:val="69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3.1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Уточнение инструктивно-методических рекомендаций по организации антикоррупционной работы в организациях, осуществляющих образовательную деятельность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 мере необходимости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3.2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Разработка и обеспечение реализации мероприятий по усилению антикоррупционной деятельности в   образовательной организации,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rPr>
          <w:trHeight w:val="80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3.3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Обеспечение размещения на информационных стендах организации информации о круглосуточном телефоне доверия министерства образования Нижегородской области, отдела образования по фактам коррупции, о телефонах доверия данных организаций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rPr>
          <w:trHeight w:val="801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3.4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Проведение рабочих совещаний педагогических работников и обслуживающего персонала образовательной организации с участием сотрудников правоохранительных органов по вопросам противодействия коррупции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c>
          <w:tcPr>
            <w:tcW w:w="155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jc w:val="both"/>
            </w:pPr>
            <w:r w:rsidRPr="00997780">
              <w:t> </w:t>
            </w:r>
          </w:p>
          <w:p w:rsidR="00EC5710" w:rsidRPr="00997780" w:rsidRDefault="00EC5710" w:rsidP="008B2E75">
            <w:pPr>
              <w:ind w:left="360"/>
              <w:jc w:val="both"/>
            </w:pPr>
            <w:r w:rsidRPr="00997780">
              <w:rPr>
                <w:b/>
                <w:bCs/>
              </w:rPr>
              <w:t xml:space="preserve">4. Меры, направленные на выявление случаев коррупционных проявлений </w:t>
            </w:r>
          </w:p>
          <w:p w:rsidR="00EC5710" w:rsidRPr="00997780" w:rsidRDefault="00EC5710" w:rsidP="008B2E75">
            <w:pPr>
              <w:ind w:left="360"/>
              <w:jc w:val="both"/>
            </w:pPr>
            <w:r w:rsidRPr="00997780">
              <w:t> 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4.1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Усиление внутреннего контроля деятельности педагогического и обслуживающего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4.2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Обеспечение реализации обязанности педагогического и обслуживающего персонала сообщать </w:t>
            </w:r>
            <w:r w:rsidRPr="00997780">
              <w:lastRenderedPageBreak/>
              <w:t>о ставших им известными, в связи с исполнением своих должностных обязанностей, случаях коррупционных или иных правонарушений.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lastRenderedPageBreak/>
              <w:t xml:space="preserve">педагогический и </w:t>
            </w:r>
            <w:r w:rsidRPr="00997780">
              <w:lastRenderedPageBreak/>
              <w:t>обслуживающий персонал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lastRenderedPageBreak/>
              <w:t>постоянно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lastRenderedPageBreak/>
              <w:t>4.3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Проведение служебных расследований случаев коррупционных проявлений в ОУ.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4.4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4.5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Создание системы взаимодействия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rPr>
          <w:trHeight w:val="113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4.6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Осуществление приема и регистрации уведомлений работодателя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rPr>
          <w:trHeight w:val="267"/>
        </w:trPr>
        <w:tc>
          <w:tcPr>
            <w:tcW w:w="155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 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rPr>
                <w:b/>
                <w:bCs/>
              </w:rPr>
              <w:t>5. Меры, направленные на обеспечение открытости и доступности населения деятельности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rPr>
                <w:b/>
                <w:bCs/>
              </w:rPr>
              <w:t>министерства образования Нижегородской области, укрепление связи с гражданским обществом,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rPr>
                <w:b/>
                <w:bCs/>
              </w:rPr>
              <w:t>стимулирование антикоррупционной активности общественности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 </w:t>
            </w:r>
          </w:p>
        </w:tc>
      </w:tr>
      <w:tr w:rsidR="00EC5710" w:rsidRPr="00997780" w:rsidTr="008B2E75">
        <w:trPr>
          <w:trHeight w:val="1121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5.1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Формирование системы общественного контроля и оценки коррупционности в сфере образования путем включения представителей педагогических общественных объединений, советов в составы аттестационных, наградных, конкурсных комиссий, иных совещательных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rPr>
          <w:trHeight w:val="56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5.2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Оказание содействия средствам массовой информации в широком освещении мер, принимаемых по противодействию коррупции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rPr>
          <w:trHeight w:val="38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5.3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Поддержка, совершенствование Интернет-ресурсов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5.4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Соблюдение при осуществлении закупок для обеспечения муниципальных нужд законодательных и иных нормативных правовых актов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Гильмзянов Р.Г.  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Гудкова Е.И.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5.5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Обеспечение совершенствования процедур и механизмов управления муниципальными закупками, в том числе путем создания конкурентных условий, открытости закупок, использования открытых аукционнов в электронной форме, мониторинга муниципальных закупок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Гудкова Е.И.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5.6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Разработка и опубликование планов – графиков размещения закупок в сети Интернет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lastRenderedPageBreak/>
              <w:t>Гудкова Е.И.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lastRenderedPageBreak/>
              <w:t>постоянно</w:t>
            </w:r>
          </w:p>
        </w:tc>
      </w:tr>
      <w:tr w:rsidR="00EC5710" w:rsidRPr="00997780" w:rsidTr="008B2E75">
        <w:trPr>
          <w:trHeight w:val="57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lastRenderedPageBreak/>
              <w:t xml:space="preserve">5.7 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Проведение опроса по вопросам удовлетворенности населения качеством образования (в том числе о проявлении коррупции в сфере образования)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ежегодно </w:t>
            </w:r>
          </w:p>
        </w:tc>
      </w:tr>
      <w:tr w:rsidR="00EC5710" w:rsidRPr="00997780" w:rsidTr="008B2E75">
        <w:tc>
          <w:tcPr>
            <w:tcW w:w="155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 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rPr>
                <w:b/>
                <w:bCs/>
              </w:rPr>
              <w:t>6. Иные меры по противодействию коррупции</w:t>
            </w:r>
          </w:p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 </w:t>
            </w:r>
          </w:p>
        </w:tc>
      </w:tr>
      <w:tr w:rsidR="00EC5710" w:rsidRPr="00997780" w:rsidTr="008B2E75">
        <w:trPr>
          <w:trHeight w:val="4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6.1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Составление планов по противодействию коррупции.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ежегодно</w:t>
            </w:r>
          </w:p>
        </w:tc>
      </w:tr>
      <w:tr w:rsidR="00EC5710" w:rsidRPr="00997780" w:rsidTr="008B2E75">
        <w:trPr>
          <w:trHeight w:val="1116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6.2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Осуществление контроля за исполнением мероприятий планов, указанных </w:t>
            </w:r>
            <w:r w:rsidRPr="00997780">
              <w:rPr>
                <w:color w:val="000000"/>
              </w:rPr>
              <w:t>в пункте 6.1 настоящего плана. Обеспечение достижения конкретных результатов, на которые нацелены мероприятия указанных планов. Представление информации о реализации настоящего плана и планов мероприятий, указанных в пункте 6.4 настоящего плана.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6.3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Формирование нетерпимого отношения к проявлениям коррупции со стороны  работников  ОУ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постоянно</w:t>
            </w:r>
          </w:p>
        </w:tc>
      </w:tr>
      <w:tr w:rsidR="00EC5710" w:rsidRPr="00997780" w:rsidTr="008B2E7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6.4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Составление информации о реализации Плана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>Гильмзянов Р.Г.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710" w:rsidRPr="00997780" w:rsidRDefault="00EC5710" w:rsidP="008B2E75">
            <w:pPr>
              <w:spacing w:before="100" w:beforeAutospacing="1"/>
              <w:jc w:val="both"/>
            </w:pPr>
            <w:r w:rsidRPr="00997780">
              <w:t xml:space="preserve">Ежеквартально </w:t>
            </w:r>
          </w:p>
        </w:tc>
      </w:tr>
    </w:tbl>
    <w:p w:rsidR="00EC5710" w:rsidRPr="00997780" w:rsidRDefault="00EC5710" w:rsidP="00EC5710">
      <w:pPr>
        <w:spacing w:before="100" w:beforeAutospacing="1"/>
        <w:jc w:val="both"/>
      </w:pPr>
      <w:r w:rsidRPr="00997780">
        <w:t> </w:t>
      </w:r>
    </w:p>
    <w:p w:rsidR="00EC5710" w:rsidRPr="00E4755F" w:rsidRDefault="00EC5710" w:rsidP="00EC5710">
      <w:pPr>
        <w:jc w:val="both"/>
        <w:rPr>
          <w:sz w:val="28"/>
          <w:szCs w:val="28"/>
        </w:rPr>
      </w:pPr>
    </w:p>
    <w:p w:rsidR="00DA5E73" w:rsidRDefault="00DA5E73">
      <w:bookmarkStart w:id="0" w:name="_GoBack"/>
      <w:bookmarkEnd w:id="0"/>
    </w:p>
    <w:sectPr w:rsidR="00DA5E73" w:rsidSect="006C1ADC">
      <w:pgSz w:w="16838" w:h="11906" w:orient="landscape"/>
      <w:pgMar w:top="1134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10"/>
    <w:rsid w:val="008C1763"/>
    <w:rsid w:val="00B56D59"/>
    <w:rsid w:val="00DA5E73"/>
    <w:rsid w:val="00E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1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D59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D59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D59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D59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D5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D59"/>
    <w:pPr>
      <w:spacing w:before="240" w:after="60"/>
      <w:outlineLvl w:val="5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D59"/>
    <w:pPr>
      <w:spacing w:before="240" w:after="60"/>
      <w:outlineLvl w:val="6"/>
    </w:pPr>
    <w:rPr>
      <w:rFonts w:ascii="Calibri" w:eastAsia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D59"/>
    <w:pPr>
      <w:spacing w:before="240" w:after="60"/>
      <w:outlineLvl w:val="7"/>
    </w:pPr>
    <w:rPr>
      <w:rFonts w:ascii="Calibri" w:eastAsia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D59"/>
    <w:pPr>
      <w:spacing w:before="240" w:after="60"/>
      <w:outlineLvl w:val="8"/>
    </w:pPr>
    <w:rPr>
      <w:rFonts w:ascii="Cambria" w:eastAsiaTheme="majorEastAs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6D59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56D59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56D59"/>
    <w:rPr>
      <w:rFonts w:ascii="Cambria" w:eastAsiaTheme="majorEastAs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56D5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56D5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56D5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B56D5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56D5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56D59"/>
    <w:rPr>
      <w:rFonts w:ascii="Cambria" w:eastAsiaTheme="majorEastAsia" w:hAnsi="Cambria"/>
    </w:rPr>
  </w:style>
  <w:style w:type="paragraph" w:styleId="a3">
    <w:name w:val="Title"/>
    <w:basedOn w:val="a"/>
    <w:next w:val="a"/>
    <w:link w:val="a4"/>
    <w:uiPriority w:val="10"/>
    <w:qFormat/>
    <w:rsid w:val="00B56D59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B56D59"/>
    <w:rPr>
      <w:rFonts w:ascii="Cambria" w:eastAsiaTheme="majorEastAs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56D59"/>
    <w:pPr>
      <w:spacing w:after="60"/>
      <w:jc w:val="center"/>
      <w:outlineLvl w:val="1"/>
    </w:pPr>
    <w:rPr>
      <w:rFonts w:ascii="Cambria" w:eastAsiaTheme="majorEastAs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B56D59"/>
    <w:rPr>
      <w:rFonts w:ascii="Cambria" w:eastAsiaTheme="majorEastAsia" w:hAnsi="Cambria"/>
      <w:sz w:val="24"/>
      <w:szCs w:val="24"/>
    </w:rPr>
  </w:style>
  <w:style w:type="character" w:styleId="a7">
    <w:name w:val="Strong"/>
    <w:uiPriority w:val="22"/>
    <w:qFormat/>
    <w:rsid w:val="00B56D59"/>
    <w:rPr>
      <w:b/>
      <w:bCs/>
    </w:rPr>
  </w:style>
  <w:style w:type="character" w:styleId="a8">
    <w:name w:val="Emphasis"/>
    <w:uiPriority w:val="20"/>
    <w:qFormat/>
    <w:rsid w:val="00B56D5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56D59"/>
    <w:rPr>
      <w:rFonts w:ascii="Calibri" w:eastAsia="Calibri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B56D59"/>
    <w:pPr>
      <w:ind w:left="720"/>
      <w:contextualSpacing/>
    </w:pPr>
    <w:rPr>
      <w:rFonts w:ascii="Calibri" w:eastAsia="Calibri" w:hAnsi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56D59"/>
    <w:rPr>
      <w:rFonts w:ascii="Calibri" w:eastAsia="Calibri" w:hAnsi="Calibri"/>
      <w:i/>
      <w:lang w:eastAsia="en-US"/>
    </w:rPr>
  </w:style>
  <w:style w:type="character" w:customStyle="1" w:styleId="22">
    <w:name w:val="Цитата 2 Знак"/>
    <w:link w:val="21"/>
    <w:uiPriority w:val="29"/>
    <w:rsid w:val="00B56D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56D59"/>
    <w:pPr>
      <w:ind w:left="720" w:right="720"/>
    </w:pPr>
    <w:rPr>
      <w:rFonts w:ascii="Calibri" w:eastAsia="Calibri" w:hAnsi="Calibri"/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B56D59"/>
    <w:rPr>
      <w:b/>
      <w:i/>
      <w:sz w:val="24"/>
    </w:rPr>
  </w:style>
  <w:style w:type="character" w:styleId="ad">
    <w:name w:val="Subtle Emphasis"/>
    <w:uiPriority w:val="19"/>
    <w:qFormat/>
    <w:rsid w:val="00B56D59"/>
    <w:rPr>
      <w:i/>
      <w:color w:val="5A5A5A"/>
    </w:rPr>
  </w:style>
  <w:style w:type="character" w:styleId="ae">
    <w:name w:val="Intense Emphasis"/>
    <w:uiPriority w:val="21"/>
    <w:qFormat/>
    <w:rsid w:val="00B56D5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56D59"/>
    <w:rPr>
      <w:sz w:val="24"/>
      <w:szCs w:val="24"/>
      <w:u w:val="single"/>
    </w:rPr>
  </w:style>
  <w:style w:type="character" w:styleId="af0">
    <w:name w:val="Intense Reference"/>
    <w:uiPriority w:val="32"/>
    <w:qFormat/>
    <w:rsid w:val="00B56D59"/>
    <w:rPr>
      <w:b/>
      <w:sz w:val="24"/>
      <w:u w:val="single"/>
    </w:rPr>
  </w:style>
  <w:style w:type="character" w:styleId="af1">
    <w:name w:val="Book Title"/>
    <w:uiPriority w:val="33"/>
    <w:qFormat/>
    <w:rsid w:val="00B56D59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56D5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1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D59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D59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D59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D59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D5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D59"/>
    <w:pPr>
      <w:spacing w:before="240" w:after="60"/>
      <w:outlineLvl w:val="5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D59"/>
    <w:pPr>
      <w:spacing w:before="240" w:after="60"/>
      <w:outlineLvl w:val="6"/>
    </w:pPr>
    <w:rPr>
      <w:rFonts w:ascii="Calibri" w:eastAsia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D59"/>
    <w:pPr>
      <w:spacing w:before="240" w:after="60"/>
      <w:outlineLvl w:val="7"/>
    </w:pPr>
    <w:rPr>
      <w:rFonts w:ascii="Calibri" w:eastAsia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D59"/>
    <w:pPr>
      <w:spacing w:before="240" w:after="60"/>
      <w:outlineLvl w:val="8"/>
    </w:pPr>
    <w:rPr>
      <w:rFonts w:ascii="Cambria" w:eastAsiaTheme="majorEastAs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6D59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56D59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56D59"/>
    <w:rPr>
      <w:rFonts w:ascii="Cambria" w:eastAsiaTheme="majorEastAs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56D5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56D5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56D5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B56D5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56D5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56D59"/>
    <w:rPr>
      <w:rFonts w:ascii="Cambria" w:eastAsiaTheme="majorEastAsia" w:hAnsi="Cambria"/>
    </w:rPr>
  </w:style>
  <w:style w:type="paragraph" w:styleId="a3">
    <w:name w:val="Title"/>
    <w:basedOn w:val="a"/>
    <w:next w:val="a"/>
    <w:link w:val="a4"/>
    <w:uiPriority w:val="10"/>
    <w:qFormat/>
    <w:rsid w:val="00B56D59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B56D59"/>
    <w:rPr>
      <w:rFonts w:ascii="Cambria" w:eastAsiaTheme="majorEastAs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56D59"/>
    <w:pPr>
      <w:spacing w:after="60"/>
      <w:jc w:val="center"/>
      <w:outlineLvl w:val="1"/>
    </w:pPr>
    <w:rPr>
      <w:rFonts w:ascii="Cambria" w:eastAsiaTheme="majorEastAs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B56D59"/>
    <w:rPr>
      <w:rFonts w:ascii="Cambria" w:eastAsiaTheme="majorEastAsia" w:hAnsi="Cambria"/>
      <w:sz w:val="24"/>
      <w:szCs w:val="24"/>
    </w:rPr>
  </w:style>
  <w:style w:type="character" w:styleId="a7">
    <w:name w:val="Strong"/>
    <w:uiPriority w:val="22"/>
    <w:qFormat/>
    <w:rsid w:val="00B56D59"/>
    <w:rPr>
      <w:b/>
      <w:bCs/>
    </w:rPr>
  </w:style>
  <w:style w:type="character" w:styleId="a8">
    <w:name w:val="Emphasis"/>
    <w:uiPriority w:val="20"/>
    <w:qFormat/>
    <w:rsid w:val="00B56D5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56D59"/>
    <w:rPr>
      <w:rFonts w:ascii="Calibri" w:eastAsia="Calibri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B56D59"/>
    <w:pPr>
      <w:ind w:left="720"/>
      <w:contextualSpacing/>
    </w:pPr>
    <w:rPr>
      <w:rFonts w:ascii="Calibri" w:eastAsia="Calibri" w:hAnsi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56D59"/>
    <w:rPr>
      <w:rFonts w:ascii="Calibri" w:eastAsia="Calibri" w:hAnsi="Calibri"/>
      <w:i/>
      <w:lang w:eastAsia="en-US"/>
    </w:rPr>
  </w:style>
  <w:style w:type="character" w:customStyle="1" w:styleId="22">
    <w:name w:val="Цитата 2 Знак"/>
    <w:link w:val="21"/>
    <w:uiPriority w:val="29"/>
    <w:rsid w:val="00B56D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56D59"/>
    <w:pPr>
      <w:ind w:left="720" w:right="720"/>
    </w:pPr>
    <w:rPr>
      <w:rFonts w:ascii="Calibri" w:eastAsia="Calibri" w:hAnsi="Calibri"/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B56D59"/>
    <w:rPr>
      <w:b/>
      <w:i/>
      <w:sz w:val="24"/>
    </w:rPr>
  </w:style>
  <w:style w:type="character" w:styleId="ad">
    <w:name w:val="Subtle Emphasis"/>
    <w:uiPriority w:val="19"/>
    <w:qFormat/>
    <w:rsid w:val="00B56D59"/>
    <w:rPr>
      <w:i/>
      <w:color w:val="5A5A5A"/>
    </w:rPr>
  </w:style>
  <w:style w:type="character" w:styleId="ae">
    <w:name w:val="Intense Emphasis"/>
    <w:uiPriority w:val="21"/>
    <w:qFormat/>
    <w:rsid w:val="00B56D5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56D59"/>
    <w:rPr>
      <w:sz w:val="24"/>
      <w:szCs w:val="24"/>
      <w:u w:val="single"/>
    </w:rPr>
  </w:style>
  <w:style w:type="character" w:styleId="af0">
    <w:name w:val="Intense Reference"/>
    <w:uiPriority w:val="32"/>
    <w:qFormat/>
    <w:rsid w:val="00B56D59"/>
    <w:rPr>
      <w:b/>
      <w:sz w:val="24"/>
      <w:u w:val="single"/>
    </w:rPr>
  </w:style>
  <w:style w:type="character" w:styleId="af1">
    <w:name w:val="Book Title"/>
    <w:uiPriority w:val="33"/>
    <w:qFormat/>
    <w:rsid w:val="00B56D59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56D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2019-10-12T06:44:00Z</dcterms:created>
  <dcterms:modified xsi:type="dcterms:W3CDTF">2019-10-12T06:45:00Z</dcterms:modified>
</cp:coreProperties>
</file>